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8D0" w:rsidRDefault="00906A6F">
      <w:pPr>
        <w:spacing w:line="360" w:lineRule="auto"/>
        <w:rPr>
          <w:rFonts w:ascii="黑体" w:eastAsia="黑体" w:hAnsi="黑体" w:cs="黑体"/>
          <w:sz w:val="36"/>
          <w:szCs w:val="36"/>
          <w:shd w:val="clear" w:color="auto" w:fill="FFFFFF"/>
        </w:rPr>
      </w:pPr>
      <w:r>
        <w:rPr>
          <w:rFonts w:ascii="黑体" w:eastAsia="黑体" w:hAnsi="黑体" w:cs="黑体" w:hint="eastAsia"/>
          <w:sz w:val="36"/>
          <w:szCs w:val="36"/>
          <w:shd w:val="clear" w:color="auto" w:fill="FFFFFF"/>
        </w:rPr>
        <w:t>附件：</w:t>
      </w:r>
    </w:p>
    <w:p w:rsidR="00D278D0" w:rsidRDefault="00906A6F">
      <w:pPr>
        <w:spacing w:line="360"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 xml:space="preserve"> </w:t>
      </w:r>
    </w:p>
    <w:p w:rsidR="00D278D0" w:rsidRDefault="00906A6F">
      <w:pPr>
        <w:spacing w:line="360" w:lineRule="auto"/>
        <w:ind w:firstLineChars="200" w:firstLine="720"/>
        <w:jc w:val="center"/>
        <w:rPr>
          <w:rFonts w:ascii="黑体" w:eastAsia="黑体" w:hAnsi="黑体" w:cs="黑体"/>
          <w:sz w:val="36"/>
          <w:szCs w:val="36"/>
          <w:shd w:val="clear" w:color="auto" w:fill="FFFFFF"/>
        </w:rPr>
      </w:pPr>
      <w:bookmarkStart w:id="0" w:name="_GoBack"/>
      <w:bookmarkEnd w:id="0"/>
      <w:r>
        <w:rPr>
          <w:rFonts w:ascii="黑体" w:eastAsia="黑体" w:hAnsi="黑体" w:cs="黑体" w:hint="eastAsia"/>
          <w:sz w:val="36"/>
          <w:szCs w:val="36"/>
          <w:shd w:val="clear" w:color="auto" w:fill="FFFFFF"/>
        </w:rPr>
        <w:t>评分方案</w:t>
      </w:r>
    </w:p>
    <w:p w:rsidR="00D278D0" w:rsidRDefault="00906A6F">
      <w:pPr>
        <w:spacing w:line="360"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 xml:space="preserve"> </w:t>
      </w:r>
    </w:p>
    <w:p w:rsidR="00D278D0" w:rsidRDefault="00906A6F">
      <w:pPr>
        <w:spacing w:line="360"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一、评审小组。由委托人相关部门专业人员组成的评审小组负责评审。</w:t>
      </w:r>
    </w:p>
    <w:p w:rsidR="00D278D0" w:rsidRDefault="00906A6F">
      <w:pPr>
        <w:spacing w:line="360"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二、评审定标原则。遵循公开、公平竞争、公正和诚信的原则，择优比选报价而合理的承包人。主要包括以下内容：</w:t>
      </w:r>
    </w:p>
    <w:p w:rsidR="00D278D0" w:rsidRDefault="00906A6F">
      <w:pPr>
        <w:spacing w:line="360"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（一）承诺保证质量、工期。</w:t>
      </w:r>
    </w:p>
    <w:p w:rsidR="00D278D0" w:rsidRDefault="00906A6F">
      <w:pPr>
        <w:spacing w:line="360"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（二）近三年内未收到省级或项目备案地司法部门或建设行政主管部门的行政处罚（或不良记录）。</w:t>
      </w:r>
    </w:p>
    <w:p w:rsidR="00D278D0" w:rsidRDefault="00906A6F">
      <w:pPr>
        <w:spacing w:line="360"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（三）按照评分的高低确定招标代理机构。</w:t>
      </w:r>
    </w:p>
    <w:p w:rsidR="00D278D0" w:rsidRDefault="00906A6F">
      <w:pPr>
        <w:spacing w:line="360"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三、评审分值表（见下页）</w:t>
      </w:r>
    </w:p>
    <w:p w:rsidR="00D278D0" w:rsidRDefault="00906A6F">
      <w:pPr>
        <w:spacing w:line="360"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四、其他。</w:t>
      </w:r>
    </w:p>
    <w:p w:rsidR="00D278D0" w:rsidRDefault="00906A6F">
      <w:pPr>
        <w:spacing w:line="360"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招标机构编制申请文件及所发生的任何费用，委托人不作补偿。</w:t>
      </w:r>
    </w:p>
    <w:p w:rsidR="00D278D0" w:rsidRDefault="00906A6F">
      <w:pPr>
        <w:spacing w:line="360"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 xml:space="preserve"> </w:t>
      </w:r>
    </w:p>
    <w:p w:rsidR="00D278D0" w:rsidRDefault="00D278D0">
      <w:pPr>
        <w:spacing w:line="360" w:lineRule="auto"/>
        <w:rPr>
          <w:rFonts w:ascii="仿宋" w:eastAsia="仿宋" w:hAnsi="仿宋" w:cs="仿宋"/>
          <w:sz w:val="32"/>
          <w:szCs w:val="32"/>
          <w:shd w:val="clear" w:color="auto" w:fill="FFFFFF"/>
        </w:rPr>
      </w:pPr>
    </w:p>
    <w:p w:rsidR="00D278D0" w:rsidRDefault="00906A6F">
      <w:pPr>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br w:type="page"/>
      </w:r>
    </w:p>
    <w:p w:rsidR="00D278D0" w:rsidRDefault="00906A6F">
      <w:pPr>
        <w:rPr>
          <w:rFonts w:ascii="Arial" w:hAnsi="Arial" w:cs="Arial"/>
          <w:sz w:val="36"/>
          <w:szCs w:val="36"/>
          <w:shd w:val="clear" w:color="auto" w:fill="FFFFFF"/>
        </w:rPr>
      </w:pPr>
      <w:r>
        <w:rPr>
          <w:rFonts w:ascii="Arial" w:hAnsi="Arial" w:cs="Arial"/>
          <w:sz w:val="36"/>
          <w:szCs w:val="36"/>
          <w:shd w:val="clear" w:color="auto" w:fill="FFFFFF"/>
        </w:rPr>
        <w:lastRenderedPageBreak/>
        <w:t xml:space="preserve"> </w:t>
      </w:r>
    </w:p>
    <w:p w:rsidR="00D278D0" w:rsidRDefault="00906A6F">
      <w:pPr>
        <w:widowControl/>
        <w:jc w:val="center"/>
        <w:rPr>
          <w:rFonts w:ascii="宋体" w:eastAsia="宋体" w:hAnsi="宋体" w:cs="宋体"/>
          <w:sz w:val="32"/>
          <w:szCs w:val="32"/>
        </w:rPr>
      </w:pPr>
      <w:r>
        <w:rPr>
          <w:rFonts w:ascii="宋体" w:eastAsia="宋体" w:hAnsi="宋体" w:cs="宋体" w:hint="eastAsia"/>
          <w:b/>
          <w:spacing w:val="-6"/>
          <w:kern w:val="0"/>
          <w:sz w:val="32"/>
          <w:szCs w:val="32"/>
          <w:shd w:val="clear" w:color="auto" w:fill="FFFFFF"/>
          <w:lang w:bidi="ar"/>
        </w:rPr>
        <w:t>项目评审分值表</w:t>
      </w:r>
    </w:p>
    <w:tbl>
      <w:tblPr>
        <w:tblW w:w="8760" w:type="dxa"/>
        <w:tblBorders>
          <w:insideH w:val="outset" w:sz="6" w:space="0" w:color="auto"/>
          <w:insideV w:val="outset" w:sz="6" w:space="0" w:color="auto"/>
        </w:tblBorders>
        <w:shd w:val="clear" w:color="auto" w:fill="FFFFFF"/>
        <w:tblCellMar>
          <w:left w:w="0" w:type="dxa"/>
          <w:right w:w="0" w:type="dxa"/>
        </w:tblCellMar>
        <w:tblLook w:val="04A0" w:firstRow="1" w:lastRow="0" w:firstColumn="1" w:lastColumn="0" w:noHBand="0" w:noVBand="1"/>
      </w:tblPr>
      <w:tblGrid>
        <w:gridCol w:w="1422"/>
        <w:gridCol w:w="1655"/>
        <w:gridCol w:w="4016"/>
        <w:gridCol w:w="1667"/>
      </w:tblGrid>
      <w:tr w:rsidR="00D278D0">
        <w:trPr>
          <w:trHeight w:val="780"/>
        </w:trPr>
        <w:tc>
          <w:tcPr>
            <w:tcW w:w="1423"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D278D0" w:rsidRDefault="00906A6F">
            <w:pPr>
              <w:widowControl/>
              <w:spacing w:line="280" w:lineRule="atLeast"/>
              <w:ind w:firstLine="640"/>
              <w:jc w:val="center"/>
              <w:rPr>
                <w:rFonts w:ascii="宋体" w:eastAsia="宋体" w:hAnsi="宋体" w:cs="宋体"/>
                <w:sz w:val="24"/>
              </w:rPr>
            </w:pPr>
            <w:r>
              <w:rPr>
                <w:rFonts w:ascii="宋体" w:eastAsia="宋体" w:hAnsi="宋体" w:cs="宋体" w:hint="eastAsia"/>
                <w:kern w:val="0"/>
                <w:sz w:val="24"/>
                <w:lang w:bidi="ar"/>
              </w:rPr>
              <w:t>评标内容</w:t>
            </w:r>
          </w:p>
        </w:tc>
        <w:tc>
          <w:tcPr>
            <w:tcW w:w="5675" w:type="dxa"/>
            <w:gridSpan w:val="2"/>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D278D0" w:rsidRDefault="00906A6F">
            <w:pPr>
              <w:widowControl/>
              <w:spacing w:line="280" w:lineRule="atLeast"/>
              <w:ind w:firstLine="640"/>
              <w:jc w:val="center"/>
              <w:rPr>
                <w:rFonts w:ascii="宋体" w:eastAsia="宋体" w:hAnsi="宋体" w:cs="宋体"/>
                <w:sz w:val="24"/>
              </w:rPr>
            </w:pPr>
            <w:r>
              <w:rPr>
                <w:rFonts w:ascii="宋体" w:eastAsia="宋体" w:hAnsi="宋体" w:cs="宋体" w:hint="eastAsia"/>
                <w:kern w:val="0"/>
                <w:sz w:val="24"/>
                <w:lang w:bidi="ar"/>
              </w:rPr>
              <w:t>评分标准</w:t>
            </w:r>
          </w:p>
        </w:tc>
        <w:tc>
          <w:tcPr>
            <w:tcW w:w="1669" w:type="dxa"/>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D278D0" w:rsidRDefault="00906A6F">
            <w:pPr>
              <w:widowControl/>
              <w:spacing w:line="280" w:lineRule="atLeast"/>
              <w:ind w:firstLine="640"/>
              <w:jc w:val="center"/>
              <w:rPr>
                <w:rFonts w:ascii="宋体" w:eastAsia="宋体" w:hAnsi="宋体" w:cs="宋体"/>
                <w:sz w:val="24"/>
              </w:rPr>
            </w:pPr>
            <w:r>
              <w:rPr>
                <w:rFonts w:ascii="宋体" w:eastAsia="宋体" w:hAnsi="宋体" w:cs="宋体" w:hint="eastAsia"/>
                <w:kern w:val="0"/>
                <w:sz w:val="24"/>
                <w:lang w:bidi="ar"/>
              </w:rPr>
              <w:t>得分</w:t>
            </w:r>
          </w:p>
        </w:tc>
      </w:tr>
      <w:tr w:rsidR="00D278D0">
        <w:trPr>
          <w:trHeight w:val="708"/>
        </w:trPr>
        <w:tc>
          <w:tcPr>
            <w:tcW w:w="7098" w:type="dxa"/>
            <w:gridSpan w:val="3"/>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D278D0" w:rsidRDefault="00906A6F">
            <w:pPr>
              <w:widowControl/>
              <w:spacing w:line="280" w:lineRule="atLeast"/>
              <w:ind w:firstLine="640"/>
              <w:jc w:val="center"/>
              <w:rPr>
                <w:rFonts w:ascii="宋体" w:eastAsia="宋体" w:hAnsi="宋体" w:cs="宋体"/>
                <w:sz w:val="24"/>
              </w:rPr>
            </w:pPr>
            <w:r>
              <w:rPr>
                <w:rFonts w:ascii="宋体" w:eastAsia="宋体" w:hAnsi="宋体" w:cs="宋体" w:hint="eastAsia"/>
                <w:kern w:val="0"/>
                <w:sz w:val="24"/>
                <w:lang w:bidi="ar"/>
              </w:rPr>
              <w:t>综合评分</w:t>
            </w:r>
            <w:r>
              <w:rPr>
                <w:rFonts w:ascii="宋体" w:eastAsia="宋体" w:hAnsi="宋体" w:cs="宋体" w:hint="eastAsia"/>
                <w:kern w:val="0"/>
                <w:sz w:val="24"/>
                <w:lang w:bidi="ar"/>
              </w:rPr>
              <w:t>100</w:t>
            </w:r>
            <w:r>
              <w:rPr>
                <w:rFonts w:ascii="宋体" w:eastAsia="宋体" w:hAnsi="宋体" w:cs="宋体" w:hint="eastAsia"/>
                <w:kern w:val="0"/>
                <w:sz w:val="24"/>
                <w:lang w:bidi="ar"/>
              </w:rPr>
              <w:t>分</w:t>
            </w:r>
          </w:p>
        </w:tc>
        <w:tc>
          <w:tcPr>
            <w:tcW w:w="1669" w:type="dxa"/>
            <w:tcBorders>
              <w:top w:val="nil"/>
              <w:left w:val="nil"/>
              <w:bottom w:val="single" w:sz="8" w:space="0" w:color="auto"/>
              <w:right w:val="single" w:sz="8" w:space="0" w:color="auto"/>
            </w:tcBorders>
            <w:shd w:val="clear" w:color="auto" w:fill="FFFFFF"/>
            <w:tcMar>
              <w:left w:w="108" w:type="dxa"/>
              <w:right w:w="108" w:type="dxa"/>
            </w:tcMar>
            <w:vAlign w:val="center"/>
          </w:tcPr>
          <w:p w:rsidR="00D278D0" w:rsidRDefault="00906A6F">
            <w:pPr>
              <w:widowControl/>
              <w:spacing w:line="280" w:lineRule="atLeast"/>
              <w:ind w:firstLine="640"/>
              <w:jc w:val="center"/>
              <w:rPr>
                <w:rFonts w:ascii="宋体" w:eastAsia="宋体" w:hAnsi="宋体" w:cs="宋体"/>
                <w:sz w:val="24"/>
              </w:rPr>
            </w:pPr>
            <w:r>
              <w:rPr>
                <w:rFonts w:ascii="宋体" w:eastAsia="宋体" w:hAnsi="宋体" w:cs="宋体" w:hint="eastAsia"/>
                <w:b/>
                <w:kern w:val="0"/>
                <w:sz w:val="24"/>
                <w:lang w:bidi="ar"/>
              </w:rPr>
              <w:t> </w:t>
            </w:r>
          </w:p>
        </w:tc>
      </w:tr>
      <w:tr w:rsidR="00D278D0">
        <w:trPr>
          <w:trHeight w:val="1098"/>
        </w:trPr>
        <w:tc>
          <w:tcPr>
            <w:tcW w:w="1423" w:type="dxa"/>
            <w:vMerge w:val="restart"/>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D278D0" w:rsidRDefault="00906A6F">
            <w:pPr>
              <w:widowControl/>
              <w:spacing w:line="280" w:lineRule="atLeast"/>
              <w:rPr>
                <w:rFonts w:ascii="宋体" w:eastAsia="宋体" w:hAnsi="宋体" w:cs="宋体"/>
                <w:sz w:val="24"/>
              </w:rPr>
            </w:pPr>
            <w:r>
              <w:rPr>
                <w:rFonts w:ascii="宋体" w:eastAsia="宋体" w:hAnsi="宋体" w:cs="宋体" w:hint="eastAsia"/>
                <w:kern w:val="0"/>
                <w:sz w:val="24"/>
                <w:lang w:bidi="ar"/>
              </w:rPr>
              <w:t>项目人员配置情况（</w:t>
            </w:r>
            <w:r>
              <w:rPr>
                <w:rFonts w:ascii="宋体" w:eastAsia="宋体" w:hAnsi="宋体" w:cs="宋体" w:hint="eastAsia"/>
                <w:kern w:val="0"/>
                <w:sz w:val="24"/>
                <w:lang w:bidi="ar"/>
              </w:rPr>
              <w:t>30</w:t>
            </w:r>
            <w:r>
              <w:rPr>
                <w:rFonts w:ascii="宋体" w:eastAsia="宋体" w:hAnsi="宋体" w:cs="宋体" w:hint="eastAsia"/>
                <w:kern w:val="0"/>
                <w:sz w:val="24"/>
                <w:lang w:bidi="ar"/>
              </w:rPr>
              <w:t>分）</w:t>
            </w:r>
          </w:p>
        </w:tc>
        <w:tc>
          <w:tcPr>
            <w:tcW w:w="1656" w:type="dxa"/>
            <w:tcBorders>
              <w:top w:val="nil"/>
              <w:left w:val="nil"/>
              <w:bottom w:val="single" w:sz="8" w:space="0" w:color="auto"/>
              <w:right w:val="single" w:sz="8" w:space="0" w:color="auto"/>
            </w:tcBorders>
            <w:shd w:val="clear" w:color="auto" w:fill="FFFFFF"/>
            <w:tcMar>
              <w:left w:w="108" w:type="dxa"/>
              <w:right w:w="108" w:type="dxa"/>
            </w:tcMar>
            <w:vAlign w:val="center"/>
          </w:tcPr>
          <w:p w:rsidR="00D278D0" w:rsidRDefault="00906A6F">
            <w:pPr>
              <w:widowControl/>
              <w:spacing w:line="280" w:lineRule="atLeast"/>
              <w:rPr>
                <w:rFonts w:ascii="宋体" w:eastAsia="宋体" w:hAnsi="宋体" w:cs="宋体"/>
                <w:sz w:val="24"/>
              </w:rPr>
            </w:pPr>
            <w:r>
              <w:rPr>
                <w:rFonts w:ascii="宋体" w:eastAsia="宋体" w:hAnsi="宋体" w:cs="宋体" w:hint="eastAsia"/>
                <w:kern w:val="0"/>
                <w:sz w:val="24"/>
                <w:lang w:bidi="ar"/>
              </w:rPr>
              <w:t>项目负责人（</w:t>
            </w:r>
            <w:r>
              <w:rPr>
                <w:rFonts w:ascii="宋体" w:eastAsia="宋体" w:hAnsi="宋体" w:cs="宋体" w:hint="eastAsia"/>
                <w:kern w:val="0"/>
                <w:sz w:val="24"/>
                <w:lang w:bidi="ar"/>
              </w:rPr>
              <w:t>10</w:t>
            </w:r>
            <w:r>
              <w:rPr>
                <w:rFonts w:ascii="宋体" w:eastAsia="宋体" w:hAnsi="宋体" w:cs="宋体" w:hint="eastAsia"/>
                <w:kern w:val="0"/>
                <w:sz w:val="24"/>
                <w:lang w:bidi="ar"/>
              </w:rPr>
              <w:t>分）</w:t>
            </w:r>
          </w:p>
        </w:tc>
        <w:tc>
          <w:tcPr>
            <w:tcW w:w="4019" w:type="dxa"/>
            <w:tcBorders>
              <w:top w:val="nil"/>
              <w:left w:val="nil"/>
              <w:bottom w:val="single" w:sz="8" w:space="0" w:color="auto"/>
              <w:right w:val="single" w:sz="8" w:space="0" w:color="auto"/>
            </w:tcBorders>
            <w:shd w:val="clear" w:color="auto" w:fill="FFFFFF"/>
            <w:tcMar>
              <w:left w:w="108" w:type="dxa"/>
              <w:right w:w="108" w:type="dxa"/>
            </w:tcMar>
            <w:vAlign w:val="center"/>
          </w:tcPr>
          <w:p w:rsidR="00D278D0" w:rsidRDefault="00906A6F">
            <w:pPr>
              <w:widowControl/>
              <w:spacing w:line="280" w:lineRule="atLeast"/>
              <w:rPr>
                <w:rFonts w:ascii="宋体" w:eastAsia="宋体" w:hAnsi="宋体" w:cs="宋体"/>
                <w:sz w:val="24"/>
              </w:rPr>
            </w:pPr>
            <w:r>
              <w:rPr>
                <w:rFonts w:ascii="宋体" w:eastAsia="宋体" w:hAnsi="宋体" w:cs="宋体" w:hint="eastAsia"/>
                <w:kern w:val="0"/>
                <w:sz w:val="24"/>
                <w:lang w:bidi="ar"/>
              </w:rPr>
              <w:t>同时具备中级职称和注册招标师资格的得</w:t>
            </w:r>
            <w:r>
              <w:rPr>
                <w:rFonts w:ascii="宋体" w:eastAsia="宋体" w:hAnsi="宋体" w:cs="宋体" w:hint="eastAsia"/>
                <w:kern w:val="0"/>
                <w:sz w:val="24"/>
                <w:lang w:bidi="ar"/>
              </w:rPr>
              <w:t>10</w:t>
            </w:r>
            <w:r>
              <w:rPr>
                <w:rFonts w:ascii="宋体" w:eastAsia="宋体" w:hAnsi="宋体" w:cs="宋体" w:hint="eastAsia"/>
                <w:kern w:val="0"/>
                <w:sz w:val="24"/>
                <w:lang w:bidi="ar"/>
              </w:rPr>
              <w:t>分。不满足的酌情扣分。</w:t>
            </w:r>
          </w:p>
        </w:tc>
        <w:tc>
          <w:tcPr>
            <w:tcW w:w="1669" w:type="dxa"/>
            <w:tcBorders>
              <w:top w:val="nil"/>
              <w:left w:val="nil"/>
              <w:bottom w:val="single" w:sz="8" w:space="0" w:color="auto"/>
              <w:right w:val="single" w:sz="8" w:space="0" w:color="auto"/>
            </w:tcBorders>
            <w:shd w:val="clear" w:color="auto" w:fill="FFFFFF"/>
            <w:tcMar>
              <w:left w:w="108" w:type="dxa"/>
              <w:right w:w="108" w:type="dxa"/>
            </w:tcMar>
          </w:tcPr>
          <w:p w:rsidR="00D278D0" w:rsidRDefault="00906A6F">
            <w:pPr>
              <w:widowControl/>
              <w:spacing w:line="280" w:lineRule="atLeast"/>
              <w:ind w:firstLine="640"/>
              <w:jc w:val="center"/>
              <w:rPr>
                <w:rFonts w:ascii="宋体" w:eastAsia="宋体" w:hAnsi="宋体" w:cs="宋体"/>
                <w:sz w:val="24"/>
              </w:rPr>
            </w:pPr>
            <w:r>
              <w:rPr>
                <w:rFonts w:ascii="宋体" w:eastAsia="宋体" w:hAnsi="宋体" w:cs="宋体" w:hint="eastAsia"/>
                <w:kern w:val="0"/>
                <w:sz w:val="24"/>
                <w:lang w:bidi="ar"/>
              </w:rPr>
              <w:t> </w:t>
            </w:r>
          </w:p>
        </w:tc>
      </w:tr>
      <w:tr w:rsidR="00D278D0">
        <w:trPr>
          <w:trHeight w:val="1890"/>
        </w:trPr>
        <w:tc>
          <w:tcPr>
            <w:tcW w:w="1423"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D278D0" w:rsidRDefault="00D278D0">
            <w:pPr>
              <w:jc w:val="center"/>
              <w:rPr>
                <w:rFonts w:ascii="宋体" w:eastAsia="宋体" w:hAnsi="宋体" w:cs="宋体"/>
                <w:sz w:val="24"/>
              </w:rPr>
            </w:pPr>
          </w:p>
        </w:tc>
        <w:tc>
          <w:tcPr>
            <w:tcW w:w="1656" w:type="dxa"/>
            <w:tcBorders>
              <w:top w:val="nil"/>
              <w:left w:val="nil"/>
              <w:bottom w:val="single" w:sz="8" w:space="0" w:color="auto"/>
              <w:right w:val="single" w:sz="8" w:space="0" w:color="auto"/>
            </w:tcBorders>
            <w:shd w:val="clear" w:color="auto" w:fill="FFFFFF"/>
            <w:tcMar>
              <w:left w:w="108" w:type="dxa"/>
              <w:right w:w="108" w:type="dxa"/>
            </w:tcMar>
            <w:vAlign w:val="center"/>
          </w:tcPr>
          <w:p w:rsidR="00D278D0" w:rsidRDefault="00906A6F">
            <w:pPr>
              <w:widowControl/>
              <w:spacing w:line="280" w:lineRule="atLeast"/>
              <w:rPr>
                <w:rFonts w:ascii="宋体" w:eastAsia="宋体" w:hAnsi="宋体" w:cs="宋体"/>
                <w:sz w:val="24"/>
              </w:rPr>
            </w:pPr>
            <w:r>
              <w:rPr>
                <w:rFonts w:ascii="宋体" w:eastAsia="宋体" w:hAnsi="宋体" w:cs="宋体" w:hint="eastAsia"/>
                <w:kern w:val="0"/>
                <w:sz w:val="24"/>
                <w:lang w:bidi="ar"/>
              </w:rPr>
              <w:t>其他专业人员配（</w:t>
            </w:r>
            <w:r>
              <w:rPr>
                <w:rFonts w:ascii="宋体" w:eastAsia="宋体" w:hAnsi="宋体" w:cs="宋体" w:hint="eastAsia"/>
                <w:kern w:val="0"/>
                <w:sz w:val="24"/>
                <w:lang w:bidi="ar"/>
              </w:rPr>
              <w:t>20</w:t>
            </w:r>
            <w:r>
              <w:rPr>
                <w:rFonts w:ascii="宋体" w:eastAsia="宋体" w:hAnsi="宋体" w:cs="宋体" w:hint="eastAsia"/>
                <w:kern w:val="0"/>
                <w:sz w:val="24"/>
                <w:lang w:bidi="ar"/>
              </w:rPr>
              <w:t>分）</w:t>
            </w:r>
          </w:p>
        </w:tc>
        <w:tc>
          <w:tcPr>
            <w:tcW w:w="4019" w:type="dxa"/>
            <w:tcBorders>
              <w:top w:val="nil"/>
              <w:left w:val="nil"/>
              <w:bottom w:val="single" w:sz="8" w:space="0" w:color="auto"/>
              <w:right w:val="single" w:sz="8" w:space="0" w:color="auto"/>
            </w:tcBorders>
            <w:shd w:val="clear" w:color="auto" w:fill="FFFFFF"/>
            <w:tcMar>
              <w:left w:w="108" w:type="dxa"/>
              <w:right w:w="108" w:type="dxa"/>
            </w:tcMar>
            <w:vAlign w:val="center"/>
          </w:tcPr>
          <w:p w:rsidR="00D278D0" w:rsidRDefault="00906A6F">
            <w:pPr>
              <w:widowControl/>
              <w:spacing w:line="280" w:lineRule="atLeast"/>
              <w:rPr>
                <w:rFonts w:ascii="宋体" w:eastAsia="宋体" w:hAnsi="宋体" w:cs="宋体"/>
                <w:sz w:val="24"/>
              </w:rPr>
            </w:pPr>
            <w:r>
              <w:rPr>
                <w:rFonts w:ascii="宋体" w:eastAsia="宋体" w:hAnsi="宋体" w:cs="宋体" w:hint="eastAsia"/>
                <w:kern w:val="0"/>
                <w:sz w:val="24"/>
                <w:lang w:bidi="ar"/>
              </w:rPr>
              <w:t>1</w:t>
            </w:r>
            <w:r>
              <w:rPr>
                <w:rFonts w:ascii="宋体" w:eastAsia="宋体" w:hAnsi="宋体" w:cs="宋体" w:hint="eastAsia"/>
                <w:kern w:val="0"/>
                <w:sz w:val="24"/>
                <w:lang w:bidi="ar"/>
              </w:rPr>
              <w:t>、至少配备</w:t>
            </w:r>
            <w:r>
              <w:rPr>
                <w:rFonts w:ascii="宋体" w:eastAsia="宋体" w:hAnsi="宋体" w:cs="宋体" w:hint="eastAsia"/>
                <w:kern w:val="0"/>
                <w:sz w:val="24"/>
                <w:lang w:bidi="ar"/>
              </w:rPr>
              <w:t>2</w:t>
            </w:r>
            <w:r>
              <w:rPr>
                <w:rFonts w:ascii="宋体" w:eastAsia="宋体" w:hAnsi="宋体" w:cs="宋体" w:hint="eastAsia"/>
                <w:kern w:val="0"/>
                <w:sz w:val="24"/>
                <w:lang w:bidi="ar"/>
              </w:rPr>
              <w:t>名专业人员</w:t>
            </w:r>
            <w:r>
              <w:rPr>
                <w:rFonts w:ascii="宋体" w:eastAsia="宋体" w:hAnsi="宋体" w:cs="宋体" w:hint="eastAsia"/>
                <w:kern w:val="0"/>
                <w:sz w:val="24"/>
                <w:lang w:bidi="ar"/>
              </w:rPr>
              <w:t>,</w:t>
            </w:r>
            <w:r>
              <w:rPr>
                <w:rFonts w:ascii="宋体" w:eastAsia="宋体" w:hAnsi="宋体" w:cs="宋体" w:hint="eastAsia"/>
                <w:kern w:val="0"/>
                <w:sz w:val="24"/>
                <w:lang w:bidi="ar"/>
              </w:rPr>
              <w:t>在此基础上每增加</w:t>
            </w:r>
            <w:r>
              <w:rPr>
                <w:rFonts w:ascii="宋体" w:eastAsia="宋体" w:hAnsi="宋体" w:cs="宋体" w:hint="eastAsia"/>
                <w:kern w:val="0"/>
                <w:sz w:val="24"/>
                <w:lang w:bidi="ar"/>
              </w:rPr>
              <w:t>1</w:t>
            </w:r>
            <w:r>
              <w:rPr>
                <w:rFonts w:ascii="宋体" w:eastAsia="宋体" w:hAnsi="宋体" w:cs="宋体" w:hint="eastAsia"/>
                <w:kern w:val="0"/>
                <w:sz w:val="24"/>
                <w:lang w:bidi="ar"/>
              </w:rPr>
              <w:t>名专业人员加</w:t>
            </w:r>
            <w:r>
              <w:rPr>
                <w:rFonts w:ascii="宋体" w:eastAsia="宋体" w:hAnsi="宋体" w:cs="宋体" w:hint="eastAsia"/>
                <w:kern w:val="0"/>
                <w:sz w:val="24"/>
                <w:lang w:bidi="ar"/>
              </w:rPr>
              <w:t>4</w:t>
            </w:r>
            <w:r>
              <w:rPr>
                <w:rFonts w:ascii="宋体" w:eastAsia="宋体" w:hAnsi="宋体" w:cs="宋体" w:hint="eastAsia"/>
                <w:kern w:val="0"/>
                <w:sz w:val="24"/>
                <w:lang w:bidi="ar"/>
              </w:rPr>
              <w:t>分</w:t>
            </w:r>
            <w:r>
              <w:rPr>
                <w:rFonts w:ascii="宋体" w:eastAsia="宋体" w:hAnsi="宋体" w:cs="宋体" w:hint="eastAsia"/>
                <w:kern w:val="0"/>
                <w:sz w:val="24"/>
                <w:lang w:bidi="ar"/>
              </w:rPr>
              <w:t>,</w:t>
            </w:r>
            <w:r>
              <w:rPr>
                <w:rFonts w:ascii="宋体" w:eastAsia="宋体" w:hAnsi="宋体" w:cs="宋体" w:hint="eastAsia"/>
                <w:kern w:val="0"/>
                <w:sz w:val="24"/>
                <w:lang w:bidi="ar"/>
              </w:rPr>
              <w:t>满分</w:t>
            </w:r>
            <w:r>
              <w:rPr>
                <w:rFonts w:ascii="宋体" w:eastAsia="宋体" w:hAnsi="宋体" w:cs="宋体" w:hint="eastAsia"/>
                <w:kern w:val="0"/>
                <w:sz w:val="24"/>
                <w:lang w:bidi="ar"/>
              </w:rPr>
              <w:t>12</w:t>
            </w:r>
            <w:r>
              <w:rPr>
                <w:rFonts w:ascii="宋体" w:eastAsia="宋体" w:hAnsi="宋体" w:cs="宋体" w:hint="eastAsia"/>
                <w:kern w:val="0"/>
                <w:sz w:val="24"/>
                <w:lang w:bidi="ar"/>
              </w:rPr>
              <w:t>分。</w:t>
            </w:r>
          </w:p>
          <w:p w:rsidR="00D278D0" w:rsidRDefault="00906A6F">
            <w:pPr>
              <w:widowControl/>
              <w:spacing w:line="280" w:lineRule="atLeast"/>
              <w:rPr>
                <w:rFonts w:ascii="宋体" w:eastAsia="宋体" w:hAnsi="宋体" w:cs="宋体"/>
                <w:sz w:val="24"/>
              </w:rPr>
            </w:pPr>
            <w:r>
              <w:rPr>
                <w:rFonts w:ascii="宋体" w:eastAsia="宋体" w:hAnsi="宋体" w:cs="宋体" w:hint="eastAsia"/>
                <w:kern w:val="0"/>
                <w:sz w:val="24"/>
                <w:lang w:bidi="ar"/>
              </w:rPr>
              <w:t>2</w:t>
            </w:r>
            <w:r>
              <w:rPr>
                <w:rFonts w:ascii="宋体" w:eastAsia="宋体" w:hAnsi="宋体" w:cs="宋体" w:hint="eastAsia"/>
                <w:kern w:val="0"/>
                <w:sz w:val="24"/>
                <w:lang w:bidi="ar"/>
              </w:rPr>
              <w:t>、专业人员中</w:t>
            </w:r>
            <w:r>
              <w:rPr>
                <w:rFonts w:ascii="宋体" w:eastAsia="宋体" w:hAnsi="宋体" w:cs="宋体" w:hint="eastAsia"/>
                <w:kern w:val="0"/>
                <w:sz w:val="24"/>
                <w:lang w:bidi="ar"/>
              </w:rPr>
              <w:t>,</w:t>
            </w:r>
            <w:r>
              <w:rPr>
                <w:rFonts w:ascii="宋体" w:eastAsia="宋体" w:hAnsi="宋体" w:cs="宋体" w:hint="eastAsia"/>
                <w:kern w:val="0"/>
                <w:sz w:val="24"/>
                <w:lang w:bidi="ar"/>
              </w:rPr>
              <w:t>具备中级及以上职称的加</w:t>
            </w:r>
            <w:r>
              <w:rPr>
                <w:rFonts w:ascii="宋体" w:eastAsia="宋体" w:hAnsi="宋体" w:cs="宋体" w:hint="eastAsia"/>
                <w:kern w:val="0"/>
                <w:sz w:val="24"/>
                <w:lang w:bidi="ar"/>
              </w:rPr>
              <w:t>2</w:t>
            </w:r>
            <w:r>
              <w:rPr>
                <w:rFonts w:ascii="宋体" w:eastAsia="宋体" w:hAnsi="宋体" w:cs="宋体" w:hint="eastAsia"/>
                <w:kern w:val="0"/>
                <w:sz w:val="24"/>
                <w:lang w:bidi="ar"/>
              </w:rPr>
              <w:t>分</w:t>
            </w:r>
            <w:r>
              <w:rPr>
                <w:rFonts w:ascii="宋体" w:eastAsia="宋体" w:hAnsi="宋体" w:cs="宋体" w:hint="eastAsia"/>
                <w:kern w:val="0"/>
                <w:sz w:val="24"/>
                <w:lang w:bidi="ar"/>
              </w:rPr>
              <w:t>,</w:t>
            </w:r>
            <w:r>
              <w:rPr>
                <w:rFonts w:ascii="宋体" w:eastAsia="宋体" w:hAnsi="宋体" w:cs="宋体" w:hint="eastAsia"/>
                <w:kern w:val="0"/>
                <w:sz w:val="24"/>
                <w:lang w:bidi="ar"/>
              </w:rPr>
              <w:t>满分</w:t>
            </w:r>
            <w:r>
              <w:rPr>
                <w:rFonts w:ascii="宋体" w:eastAsia="宋体" w:hAnsi="宋体" w:cs="宋体" w:hint="eastAsia"/>
                <w:kern w:val="0"/>
                <w:sz w:val="24"/>
                <w:lang w:bidi="ar"/>
              </w:rPr>
              <w:t>8</w:t>
            </w:r>
            <w:r>
              <w:rPr>
                <w:rFonts w:ascii="宋体" w:eastAsia="宋体" w:hAnsi="宋体" w:cs="宋体" w:hint="eastAsia"/>
                <w:kern w:val="0"/>
                <w:sz w:val="24"/>
                <w:lang w:bidi="ar"/>
              </w:rPr>
              <w:t>分。</w:t>
            </w:r>
          </w:p>
          <w:p w:rsidR="00D278D0" w:rsidRDefault="00906A6F">
            <w:pPr>
              <w:widowControl/>
              <w:spacing w:line="280" w:lineRule="atLeast"/>
              <w:rPr>
                <w:rFonts w:ascii="宋体" w:eastAsia="宋体" w:hAnsi="宋体" w:cs="宋体"/>
                <w:sz w:val="24"/>
              </w:rPr>
            </w:pPr>
            <w:r>
              <w:rPr>
                <w:rFonts w:ascii="宋体" w:eastAsia="宋体" w:hAnsi="宋体" w:cs="宋体" w:hint="eastAsia"/>
                <w:kern w:val="0"/>
                <w:sz w:val="24"/>
                <w:lang w:bidi="ar"/>
              </w:rPr>
              <w:t>3</w:t>
            </w:r>
            <w:r>
              <w:rPr>
                <w:rFonts w:ascii="宋体" w:eastAsia="宋体" w:hAnsi="宋体" w:cs="宋体" w:hint="eastAsia"/>
                <w:kern w:val="0"/>
                <w:sz w:val="24"/>
                <w:lang w:bidi="ar"/>
              </w:rPr>
              <w:t>、不满足的酌情扣分。</w:t>
            </w:r>
          </w:p>
        </w:tc>
        <w:tc>
          <w:tcPr>
            <w:tcW w:w="1669" w:type="dxa"/>
            <w:tcBorders>
              <w:top w:val="nil"/>
              <w:left w:val="nil"/>
              <w:bottom w:val="single" w:sz="8" w:space="0" w:color="auto"/>
              <w:right w:val="single" w:sz="8" w:space="0" w:color="auto"/>
            </w:tcBorders>
            <w:shd w:val="clear" w:color="auto" w:fill="FFFFFF"/>
            <w:tcMar>
              <w:left w:w="108" w:type="dxa"/>
              <w:right w:w="108" w:type="dxa"/>
            </w:tcMar>
          </w:tcPr>
          <w:p w:rsidR="00D278D0" w:rsidRDefault="00906A6F">
            <w:pPr>
              <w:widowControl/>
              <w:shd w:val="clear" w:color="auto" w:fill="FFFFFF"/>
              <w:spacing w:line="280" w:lineRule="atLeast"/>
              <w:ind w:firstLine="640"/>
              <w:jc w:val="center"/>
              <w:rPr>
                <w:rFonts w:ascii="宋体" w:eastAsia="宋体" w:hAnsi="宋体" w:cs="宋体"/>
                <w:sz w:val="24"/>
              </w:rPr>
            </w:pPr>
            <w:r>
              <w:rPr>
                <w:rFonts w:ascii="宋体" w:eastAsia="宋体" w:hAnsi="宋体" w:cs="宋体" w:hint="eastAsia"/>
                <w:kern w:val="0"/>
                <w:sz w:val="24"/>
                <w:shd w:val="clear" w:color="auto" w:fill="FFFFFF"/>
                <w:lang w:bidi="ar"/>
              </w:rPr>
              <w:t> </w:t>
            </w:r>
          </w:p>
        </w:tc>
      </w:tr>
      <w:tr w:rsidR="00D278D0">
        <w:trPr>
          <w:trHeight w:val="1203"/>
        </w:trPr>
        <w:tc>
          <w:tcPr>
            <w:tcW w:w="1423"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D278D0" w:rsidRDefault="00906A6F">
            <w:pPr>
              <w:widowControl/>
              <w:spacing w:line="280" w:lineRule="atLeast"/>
              <w:rPr>
                <w:rFonts w:ascii="宋体" w:eastAsia="宋体" w:hAnsi="宋体" w:cs="宋体"/>
                <w:sz w:val="24"/>
              </w:rPr>
            </w:pPr>
            <w:r>
              <w:rPr>
                <w:rFonts w:ascii="宋体" w:eastAsia="宋体" w:hAnsi="宋体" w:cs="宋体" w:hint="eastAsia"/>
                <w:kern w:val="0"/>
                <w:sz w:val="24"/>
                <w:lang w:bidi="ar"/>
              </w:rPr>
              <w:t>价格分（</w:t>
            </w:r>
            <w:r>
              <w:rPr>
                <w:rFonts w:ascii="宋体" w:eastAsia="宋体" w:hAnsi="宋体" w:cs="宋体" w:hint="eastAsia"/>
                <w:kern w:val="0"/>
                <w:sz w:val="24"/>
                <w:lang w:bidi="ar"/>
              </w:rPr>
              <w:t>10</w:t>
            </w:r>
            <w:r>
              <w:rPr>
                <w:rFonts w:ascii="宋体" w:eastAsia="宋体" w:hAnsi="宋体" w:cs="宋体" w:hint="eastAsia"/>
                <w:kern w:val="0"/>
                <w:sz w:val="24"/>
                <w:lang w:bidi="ar"/>
              </w:rPr>
              <w:t>分）</w:t>
            </w:r>
          </w:p>
        </w:tc>
        <w:tc>
          <w:tcPr>
            <w:tcW w:w="1656" w:type="dxa"/>
            <w:tcBorders>
              <w:top w:val="nil"/>
              <w:left w:val="nil"/>
              <w:bottom w:val="single" w:sz="8" w:space="0" w:color="auto"/>
              <w:right w:val="single" w:sz="8" w:space="0" w:color="auto"/>
            </w:tcBorders>
            <w:shd w:val="clear" w:color="auto" w:fill="FFFFFF"/>
            <w:tcMar>
              <w:left w:w="108" w:type="dxa"/>
              <w:right w:w="108" w:type="dxa"/>
            </w:tcMar>
            <w:vAlign w:val="center"/>
          </w:tcPr>
          <w:p w:rsidR="00D278D0" w:rsidRDefault="00906A6F">
            <w:pPr>
              <w:widowControl/>
              <w:spacing w:line="280" w:lineRule="atLeast"/>
              <w:rPr>
                <w:rFonts w:ascii="宋体" w:eastAsia="宋体" w:hAnsi="宋体" w:cs="宋体"/>
                <w:sz w:val="24"/>
              </w:rPr>
            </w:pPr>
            <w:r>
              <w:rPr>
                <w:rFonts w:ascii="宋体" w:eastAsia="宋体" w:hAnsi="宋体" w:cs="宋体" w:hint="eastAsia"/>
                <w:kern w:val="0"/>
                <w:sz w:val="24"/>
                <w:lang w:bidi="ar"/>
              </w:rPr>
              <w:t>价格分（</w:t>
            </w:r>
            <w:r>
              <w:rPr>
                <w:rFonts w:ascii="宋体" w:eastAsia="宋体" w:hAnsi="宋体" w:cs="宋体" w:hint="eastAsia"/>
                <w:kern w:val="0"/>
                <w:sz w:val="24"/>
                <w:lang w:bidi="ar"/>
              </w:rPr>
              <w:t>10</w:t>
            </w:r>
            <w:r>
              <w:rPr>
                <w:rFonts w:ascii="宋体" w:eastAsia="宋体" w:hAnsi="宋体" w:cs="宋体" w:hint="eastAsia"/>
                <w:kern w:val="0"/>
                <w:sz w:val="24"/>
                <w:lang w:bidi="ar"/>
              </w:rPr>
              <w:t>分）</w:t>
            </w:r>
          </w:p>
        </w:tc>
        <w:tc>
          <w:tcPr>
            <w:tcW w:w="4019" w:type="dxa"/>
            <w:tcBorders>
              <w:top w:val="nil"/>
              <w:left w:val="nil"/>
              <w:bottom w:val="single" w:sz="8" w:space="0" w:color="auto"/>
              <w:right w:val="single" w:sz="8" w:space="0" w:color="auto"/>
            </w:tcBorders>
            <w:shd w:val="clear" w:color="auto" w:fill="FFFFFF"/>
            <w:tcMar>
              <w:left w:w="108" w:type="dxa"/>
              <w:right w:w="108" w:type="dxa"/>
            </w:tcMar>
            <w:vAlign w:val="center"/>
          </w:tcPr>
          <w:p w:rsidR="00D278D0" w:rsidRDefault="00906A6F">
            <w:pPr>
              <w:widowControl/>
              <w:spacing w:line="280" w:lineRule="atLeast"/>
              <w:rPr>
                <w:rFonts w:ascii="宋体" w:eastAsia="宋体" w:hAnsi="宋体" w:cs="宋体"/>
                <w:sz w:val="24"/>
              </w:rPr>
            </w:pPr>
            <w:r>
              <w:rPr>
                <w:rFonts w:ascii="宋体" w:eastAsia="宋体" w:hAnsi="宋体" w:cs="宋体" w:hint="eastAsia"/>
                <w:kern w:val="0"/>
                <w:sz w:val="24"/>
                <w:lang w:bidi="ar"/>
              </w:rPr>
              <w:t>投标报价得分＝（评标基准价／有效投标报价）×</w:t>
            </w:r>
            <w:proofErr w:type="gramStart"/>
            <w:r>
              <w:rPr>
                <w:rFonts w:ascii="宋体" w:eastAsia="宋体" w:hAnsi="宋体" w:cs="宋体" w:hint="eastAsia"/>
                <w:kern w:val="0"/>
                <w:sz w:val="24"/>
                <w:lang w:bidi="ar"/>
              </w:rPr>
              <w:t>价格权</w:t>
            </w:r>
            <w:proofErr w:type="gramEnd"/>
            <w:r>
              <w:rPr>
                <w:rFonts w:ascii="宋体" w:eastAsia="宋体" w:hAnsi="宋体" w:cs="宋体" w:hint="eastAsia"/>
                <w:kern w:val="0"/>
                <w:sz w:val="24"/>
                <w:lang w:bidi="ar"/>
              </w:rPr>
              <w:t>值</w:t>
            </w:r>
            <w:r>
              <w:rPr>
                <w:rFonts w:ascii="宋体" w:eastAsia="宋体" w:hAnsi="宋体" w:cs="宋体" w:hint="eastAsia"/>
                <w:kern w:val="0"/>
                <w:sz w:val="24"/>
                <w:lang w:bidi="ar"/>
              </w:rPr>
              <w:t>(10%)</w:t>
            </w:r>
            <w:r>
              <w:rPr>
                <w:rFonts w:ascii="宋体" w:eastAsia="宋体" w:hAnsi="宋体" w:cs="宋体" w:hint="eastAsia"/>
                <w:kern w:val="0"/>
                <w:sz w:val="24"/>
                <w:lang w:bidi="ar"/>
              </w:rPr>
              <w:t>×</w:t>
            </w:r>
            <w:r>
              <w:rPr>
                <w:rFonts w:ascii="宋体" w:eastAsia="宋体" w:hAnsi="宋体" w:cs="宋体" w:hint="eastAsia"/>
                <w:kern w:val="0"/>
                <w:sz w:val="24"/>
                <w:lang w:bidi="ar"/>
              </w:rPr>
              <w:t>100</w:t>
            </w:r>
            <w:r>
              <w:rPr>
                <w:rFonts w:ascii="宋体" w:eastAsia="宋体" w:hAnsi="宋体" w:cs="宋体" w:hint="eastAsia"/>
                <w:kern w:val="0"/>
                <w:sz w:val="24"/>
                <w:lang w:bidi="ar"/>
              </w:rPr>
              <w:t>。</w:t>
            </w:r>
            <w:r>
              <w:rPr>
                <w:rFonts w:ascii="宋体" w:eastAsia="宋体" w:hAnsi="宋体" w:cs="宋体" w:hint="eastAsia"/>
                <w:kern w:val="0"/>
                <w:sz w:val="24"/>
                <w:lang w:bidi="ar"/>
              </w:rPr>
              <w:t> </w:t>
            </w:r>
            <w:r>
              <w:rPr>
                <w:rFonts w:ascii="宋体" w:eastAsia="宋体" w:hAnsi="宋体" w:cs="宋体" w:hint="eastAsia"/>
                <w:kern w:val="0"/>
                <w:sz w:val="24"/>
                <w:lang w:bidi="ar"/>
              </w:rPr>
              <w:t>报价最低的价格为基准价。</w:t>
            </w:r>
          </w:p>
        </w:tc>
        <w:tc>
          <w:tcPr>
            <w:tcW w:w="1669" w:type="dxa"/>
            <w:tcBorders>
              <w:top w:val="nil"/>
              <w:left w:val="nil"/>
              <w:bottom w:val="single" w:sz="8" w:space="0" w:color="auto"/>
              <w:right w:val="single" w:sz="8" w:space="0" w:color="auto"/>
            </w:tcBorders>
            <w:shd w:val="clear" w:color="auto" w:fill="FFFFFF"/>
            <w:tcMar>
              <w:left w:w="108" w:type="dxa"/>
              <w:right w:w="108" w:type="dxa"/>
            </w:tcMar>
            <w:vAlign w:val="center"/>
          </w:tcPr>
          <w:p w:rsidR="00D278D0" w:rsidRDefault="00906A6F">
            <w:pPr>
              <w:widowControl/>
              <w:spacing w:line="280" w:lineRule="atLeast"/>
              <w:ind w:firstLine="640"/>
              <w:jc w:val="center"/>
              <w:rPr>
                <w:rFonts w:ascii="宋体" w:eastAsia="宋体" w:hAnsi="宋体" w:cs="宋体"/>
                <w:sz w:val="24"/>
              </w:rPr>
            </w:pPr>
            <w:r>
              <w:rPr>
                <w:rFonts w:ascii="宋体" w:eastAsia="宋体" w:hAnsi="宋体" w:cs="宋体" w:hint="eastAsia"/>
                <w:kern w:val="0"/>
                <w:sz w:val="24"/>
                <w:lang w:bidi="ar"/>
              </w:rPr>
              <w:t> </w:t>
            </w:r>
          </w:p>
        </w:tc>
      </w:tr>
      <w:tr w:rsidR="00D278D0">
        <w:trPr>
          <w:trHeight w:val="1005"/>
        </w:trPr>
        <w:tc>
          <w:tcPr>
            <w:tcW w:w="1423"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D278D0" w:rsidRDefault="00906A6F">
            <w:pPr>
              <w:widowControl/>
              <w:spacing w:line="280" w:lineRule="atLeast"/>
              <w:rPr>
                <w:rFonts w:ascii="宋体" w:eastAsia="宋体" w:hAnsi="宋体" w:cs="宋体"/>
                <w:sz w:val="24"/>
              </w:rPr>
            </w:pPr>
            <w:r>
              <w:rPr>
                <w:rFonts w:ascii="宋体" w:eastAsia="宋体" w:hAnsi="宋体" w:cs="宋体" w:hint="eastAsia"/>
                <w:kern w:val="0"/>
                <w:sz w:val="24"/>
                <w:lang w:bidi="ar"/>
              </w:rPr>
              <w:t>公司业绩（</w:t>
            </w:r>
            <w:r>
              <w:rPr>
                <w:rFonts w:ascii="宋体" w:eastAsia="宋体" w:hAnsi="宋体" w:cs="宋体" w:hint="eastAsia"/>
                <w:kern w:val="0"/>
                <w:sz w:val="24"/>
                <w:lang w:bidi="ar"/>
              </w:rPr>
              <w:t>15</w:t>
            </w:r>
            <w:r>
              <w:rPr>
                <w:rFonts w:ascii="宋体" w:eastAsia="宋体" w:hAnsi="宋体" w:cs="宋体" w:hint="eastAsia"/>
                <w:kern w:val="0"/>
                <w:sz w:val="24"/>
                <w:lang w:bidi="ar"/>
              </w:rPr>
              <w:t>分）</w:t>
            </w:r>
          </w:p>
        </w:tc>
        <w:tc>
          <w:tcPr>
            <w:tcW w:w="1656" w:type="dxa"/>
            <w:tcBorders>
              <w:top w:val="nil"/>
              <w:left w:val="nil"/>
              <w:bottom w:val="single" w:sz="8" w:space="0" w:color="auto"/>
              <w:right w:val="single" w:sz="8" w:space="0" w:color="auto"/>
            </w:tcBorders>
            <w:shd w:val="clear" w:color="auto" w:fill="FFFFFF"/>
            <w:tcMar>
              <w:left w:w="108" w:type="dxa"/>
              <w:right w:w="108" w:type="dxa"/>
            </w:tcMar>
            <w:vAlign w:val="center"/>
          </w:tcPr>
          <w:p w:rsidR="00D278D0" w:rsidRDefault="00906A6F">
            <w:pPr>
              <w:widowControl/>
              <w:spacing w:line="280" w:lineRule="atLeast"/>
              <w:rPr>
                <w:rFonts w:ascii="宋体" w:eastAsia="宋体" w:hAnsi="宋体" w:cs="宋体"/>
                <w:sz w:val="24"/>
              </w:rPr>
            </w:pPr>
            <w:r>
              <w:rPr>
                <w:rFonts w:ascii="宋体" w:eastAsia="宋体" w:hAnsi="宋体" w:cs="宋体" w:hint="eastAsia"/>
                <w:kern w:val="0"/>
                <w:sz w:val="24"/>
                <w:lang w:bidi="ar"/>
              </w:rPr>
              <w:t>业绩分（</w:t>
            </w:r>
            <w:r>
              <w:rPr>
                <w:rFonts w:ascii="宋体" w:eastAsia="宋体" w:hAnsi="宋体" w:cs="宋体" w:hint="eastAsia"/>
                <w:kern w:val="0"/>
                <w:sz w:val="24"/>
                <w:lang w:bidi="ar"/>
              </w:rPr>
              <w:t>15</w:t>
            </w:r>
            <w:r>
              <w:rPr>
                <w:rFonts w:ascii="宋体" w:eastAsia="宋体" w:hAnsi="宋体" w:cs="宋体" w:hint="eastAsia"/>
                <w:kern w:val="0"/>
                <w:sz w:val="24"/>
                <w:lang w:bidi="ar"/>
              </w:rPr>
              <w:t>分）</w:t>
            </w:r>
          </w:p>
        </w:tc>
        <w:tc>
          <w:tcPr>
            <w:tcW w:w="4019" w:type="dxa"/>
            <w:tcBorders>
              <w:top w:val="nil"/>
              <w:left w:val="nil"/>
              <w:bottom w:val="single" w:sz="8" w:space="0" w:color="auto"/>
              <w:right w:val="single" w:sz="8" w:space="0" w:color="auto"/>
            </w:tcBorders>
            <w:shd w:val="clear" w:color="auto" w:fill="FFFFFF"/>
            <w:tcMar>
              <w:left w:w="108" w:type="dxa"/>
              <w:right w:w="108" w:type="dxa"/>
            </w:tcMar>
            <w:vAlign w:val="center"/>
          </w:tcPr>
          <w:p w:rsidR="00D278D0" w:rsidRDefault="00906A6F">
            <w:pPr>
              <w:widowControl/>
              <w:spacing w:line="280" w:lineRule="atLeast"/>
              <w:rPr>
                <w:rFonts w:ascii="宋体" w:eastAsia="宋体" w:hAnsi="宋体" w:cs="宋体"/>
                <w:sz w:val="24"/>
              </w:rPr>
            </w:pPr>
            <w:r>
              <w:rPr>
                <w:rFonts w:ascii="宋体" w:eastAsia="宋体" w:hAnsi="宋体" w:cs="宋体" w:hint="eastAsia"/>
                <w:kern w:val="0"/>
                <w:sz w:val="24"/>
                <w:lang w:bidi="ar"/>
              </w:rPr>
              <w:t>每提供</w:t>
            </w:r>
            <w:r>
              <w:rPr>
                <w:rFonts w:ascii="宋体" w:eastAsia="宋体" w:hAnsi="宋体" w:cs="宋体" w:hint="eastAsia"/>
                <w:kern w:val="0"/>
                <w:sz w:val="24"/>
                <w:lang w:bidi="ar"/>
              </w:rPr>
              <w:t>1</w:t>
            </w:r>
            <w:r>
              <w:rPr>
                <w:rFonts w:ascii="宋体" w:eastAsia="宋体" w:hAnsi="宋体" w:cs="宋体" w:hint="eastAsia"/>
                <w:kern w:val="0"/>
                <w:sz w:val="24"/>
                <w:lang w:bidi="ar"/>
              </w:rPr>
              <w:t>份同类服务业绩得</w:t>
            </w:r>
            <w:r>
              <w:rPr>
                <w:rFonts w:ascii="宋体" w:eastAsia="宋体" w:hAnsi="宋体" w:cs="宋体" w:hint="eastAsia"/>
                <w:kern w:val="0"/>
                <w:sz w:val="24"/>
                <w:lang w:bidi="ar"/>
              </w:rPr>
              <w:t>3</w:t>
            </w:r>
            <w:r>
              <w:rPr>
                <w:rFonts w:ascii="宋体" w:eastAsia="宋体" w:hAnsi="宋体" w:cs="宋体" w:hint="eastAsia"/>
                <w:kern w:val="0"/>
                <w:sz w:val="24"/>
                <w:lang w:bidi="ar"/>
              </w:rPr>
              <w:t>分，最多</w:t>
            </w:r>
            <w:r>
              <w:rPr>
                <w:rFonts w:ascii="宋体" w:eastAsia="宋体" w:hAnsi="宋体" w:cs="宋体" w:hint="eastAsia"/>
                <w:kern w:val="0"/>
                <w:sz w:val="24"/>
                <w:lang w:bidi="ar"/>
              </w:rPr>
              <w:t>15</w:t>
            </w:r>
            <w:r>
              <w:rPr>
                <w:rFonts w:ascii="宋体" w:eastAsia="宋体" w:hAnsi="宋体" w:cs="宋体" w:hint="eastAsia"/>
                <w:kern w:val="0"/>
                <w:sz w:val="24"/>
                <w:lang w:bidi="ar"/>
              </w:rPr>
              <w:t>分。</w:t>
            </w:r>
          </w:p>
        </w:tc>
        <w:tc>
          <w:tcPr>
            <w:tcW w:w="1669" w:type="dxa"/>
            <w:tcBorders>
              <w:top w:val="nil"/>
              <w:left w:val="nil"/>
              <w:bottom w:val="single" w:sz="8" w:space="0" w:color="auto"/>
              <w:right w:val="single" w:sz="8" w:space="0" w:color="auto"/>
            </w:tcBorders>
            <w:shd w:val="clear" w:color="auto" w:fill="FFFFFF"/>
            <w:tcMar>
              <w:left w:w="108" w:type="dxa"/>
              <w:right w:w="108" w:type="dxa"/>
            </w:tcMar>
            <w:vAlign w:val="center"/>
          </w:tcPr>
          <w:p w:rsidR="00D278D0" w:rsidRDefault="00906A6F">
            <w:pPr>
              <w:widowControl/>
              <w:spacing w:line="280" w:lineRule="atLeast"/>
              <w:ind w:firstLine="640"/>
              <w:jc w:val="center"/>
              <w:rPr>
                <w:rFonts w:ascii="宋体" w:eastAsia="宋体" w:hAnsi="宋体" w:cs="宋体"/>
                <w:sz w:val="24"/>
              </w:rPr>
            </w:pPr>
            <w:r>
              <w:rPr>
                <w:rFonts w:ascii="宋体" w:eastAsia="宋体" w:hAnsi="宋体" w:cs="宋体" w:hint="eastAsia"/>
                <w:kern w:val="0"/>
                <w:sz w:val="24"/>
                <w:lang w:bidi="ar"/>
              </w:rPr>
              <w:t> </w:t>
            </w:r>
          </w:p>
        </w:tc>
      </w:tr>
      <w:tr w:rsidR="00D278D0">
        <w:trPr>
          <w:trHeight w:val="1284"/>
        </w:trPr>
        <w:tc>
          <w:tcPr>
            <w:tcW w:w="1423" w:type="dxa"/>
            <w:vMerge w:val="restart"/>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D278D0" w:rsidRDefault="00906A6F">
            <w:pPr>
              <w:widowControl/>
              <w:spacing w:line="280" w:lineRule="atLeast"/>
              <w:rPr>
                <w:rFonts w:ascii="宋体" w:eastAsia="宋体" w:hAnsi="宋体" w:cs="宋体"/>
                <w:sz w:val="24"/>
              </w:rPr>
            </w:pPr>
            <w:r>
              <w:rPr>
                <w:rFonts w:ascii="宋体" w:eastAsia="宋体" w:hAnsi="宋体" w:cs="宋体" w:hint="eastAsia"/>
                <w:kern w:val="0"/>
                <w:sz w:val="24"/>
                <w:lang w:bidi="ar"/>
              </w:rPr>
              <w:t>招标方案及服务承诺（</w:t>
            </w:r>
            <w:r>
              <w:rPr>
                <w:rFonts w:ascii="宋体" w:eastAsia="宋体" w:hAnsi="宋体" w:cs="宋体" w:hint="eastAsia"/>
                <w:kern w:val="0"/>
                <w:sz w:val="24"/>
                <w:lang w:bidi="ar"/>
              </w:rPr>
              <w:t>45</w:t>
            </w:r>
            <w:r>
              <w:rPr>
                <w:rFonts w:ascii="宋体" w:eastAsia="宋体" w:hAnsi="宋体" w:cs="宋体" w:hint="eastAsia"/>
                <w:kern w:val="0"/>
                <w:sz w:val="24"/>
                <w:lang w:bidi="ar"/>
              </w:rPr>
              <w:t>分）</w:t>
            </w:r>
          </w:p>
        </w:tc>
        <w:tc>
          <w:tcPr>
            <w:tcW w:w="1656" w:type="dxa"/>
            <w:tcBorders>
              <w:top w:val="nil"/>
              <w:left w:val="nil"/>
              <w:bottom w:val="single" w:sz="8" w:space="0" w:color="auto"/>
              <w:right w:val="single" w:sz="8" w:space="0" w:color="auto"/>
            </w:tcBorders>
            <w:shd w:val="clear" w:color="auto" w:fill="FFFFFF"/>
            <w:tcMar>
              <w:left w:w="108" w:type="dxa"/>
              <w:right w:w="108" w:type="dxa"/>
            </w:tcMar>
            <w:vAlign w:val="center"/>
          </w:tcPr>
          <w:p w:rsidR="00D278D0" w:rsidRDefault="00906A6F">
            <w:pPr>
              <w:widowControl/>
              <w:spacing w:line="280" w:lineRule="atLeast"/>
              <w:rPr>
                <w:rFonts w:ascii="宋体" w:eastAsia="宋体" w:hAnsi="宋体" w:cs="宋体"/>
                <w:sz w:val="24"/>
              </w:rPr>
            </w:pPr>
            <w:r>
              <w:rPr>
                <w:rFonts w:ascii="宋体" w:eastAsia="宋体" w:hAnsi="宋体" w:cs="宋体" w:hint="eastAsia"/>
                <w:kern w:val="0"/>
                <w:sz w:val="24"/>
                <w:lang w:bidi="ar"/>
              </w:rPr>
              <w:t>招标方案</w:t>
            </w:r>
          </w:p>
          <w:p w:rsidR="00D278D0" w:rsidRDefault="00906A6F">
            <w:pPr>
              <w:widowControl/>
              <w:spacing w:line="280" w:lineRule="atLeast"/>
              <w:rPr>
                <w:rFonts w:ascii="宋体" w:eastAsia="宋体" w:hAnsi="宋体" w:cs="宋体"/>
                <w:sz w:val="24"/>
              </w:rPr>
            </w:pPr>
            <w:r>
              <w:rPr>
                <w:rFonts w:ascii="宋体" w:eastAsia="宋体" w:hAnsi="宋体" w:cs="宋体" w:hint="eastAsia"/>
                <w:kern w:val="0"/>
                <w:sz w:val="24"/>
                <w:lang w:bidi="ar"/>
              </w:rPr>
              <w:t>（</w:t>
            </w:r>
            <w:r>
              <w:rPr>
                <w:rFonts w:ascii="宋体" w:eastAsia="宋体" w:hAnsi="宋体" w:cs="宋体" w:hint="eastAsia"/>
                <w:kern w:val="0"/>
                <w:sz w:val="24"/>
                <w:lang w:bidi="ar"/>
              </w:rPr>
              <w:t>15</w:t>
            </w:r>
            <w:r>
              <w:rPr>
                <w:rFonts w:ascii="宋体" w:eastAsia="宋体" w:hAnsi="宋体" w:cs="宋体" w:hint="eastAsia"/>
                <w:kern w:val="0"/>
                <w:sz w:val="24"/>
                <w:lang w:bidi="ar"/>
              </w:rPr>
              <w:t>分）</w:t>
            </w:r>
          </w:p>
        </w:tc>
        <w:tc>
          <w:tcPr>
            <w:tcW w:w="4019" w:type="dxa"/>
            <w:tcBorders>
              <w:top w:val="nil"/>
              <w:left w:val="nil"/>
              <w:bottom w:val="single" w:sz="8" w:space="0" w:color="auto"/>
              <w:right w:val="single" w:sz="8" w:space="0" w:color="auto"/>
            </w:tcBorders>
            <w:shd w:val="clear" w:color="auto" w:fill="FFFFFF"/>
            <w:tcMar>
              <w:left w:w="108" w:type="dxa"/>
              <w:right w:w="108" w:type="dxa"/>
            </w:tcMar>
            <w:vAlign w:val="center"/>
          </w:tcPr>
          <w:p w:rsidR="00D278D0" w:rsidRDefault="00906A6F">
            <w:pPr>
              <w:widowControl/>
              <w:spacing w:line="280" w:lineRule="atLeast"/>
              <w:rPr>
                <w:rFonts w:ascii="宋体" w:eastAsia="宋体" w:hAnsi="宋体" w:cs="宋体"/>
                <w:sz w:val="24"/>
              </w:rPr>
            </w:pPr>
            <w:r>
              <w:rPr>
                <w:rFonts w:ascii="宋体" w:eastAsia="宋体" w:hAnsi="宋体" w:cs="宋体" w:hint="eastAsia"/>
                <w:kern w:val="0"/>
                <w:sz w:val="24"/>
                <w:lang w:bidi="ar"/>
              </w:rPr>
              <w:t>方案特征、难点分析准确到位，工作流程正确，方案招标方案实施措施完善得满分。不满足的酌情扣分。</w:t>
            </w:r>
          </w:p>
        </w:tc>
        <w:tc>
          <w:tcPr>
            <w:tcW w:w="1669" w:type="dxa"/>
            <w:tcBorders>
              <w:top w:val="nil"/>
              <w:left w:val="nil"/>
              <w:bottom w:val="single" w:sz="8" w:space="0" w:color="auto"/>
              <w:right w:val="single" w:sz="8" w:space="0" w:color="auto"/>
            </w:tcBorders>
            <w:shd w:val="clear" w:color="auto" w:fill="FFFFFF"/>
            <w:tcMar>
              <w:left w:w="108" w:type="dxa"/>
              <w:right w:w="108" w:type="dxa"/>
            </w:tcMar>
            <w:vAlign w:val="center"/>
          </w:tcPr>
          <w:p w:rsidR="00D278D0" w:rsidRDefault="00906A6F">
            <w:pPr>
              <w:widowControl/>
              <w:spacing w:line="280" w:lineRule="atLeast"/>
              <w:ind w:firstLine="640"/>
              <w:jc w:val="center"/>
              <w:rPr>
                <w:rFonts w:ascii="宋体" w:eastAsia="宋体" w:hAnsi="宋体" w:cs="宋体"/>
                <w:sz w:val="24"/>
              </w:rPr>
            </w:pPr>
            <w:r>
              <w:rPr>
                <w:rFonts w:ascii="宋体" w:eastAsia="宋体" w:hAnsi="宋体" w:cs="宋体" w:hint="eastAsia"/>
                <w:kern w:val="0"/>
                <w:sz w:val="24"/>
                <w:lang w:bidi="ar"/>
              </w:rPr>
              <w:t> </w:t>
            </w:r>
          </w:p>
        </w:tc>
      </w:tr>
      <w:tr w:rsidR="00D278D0">
        <w:trPr>
          <w:trHeight w:val="920"/>
        </w:trPr>
        <w:tc>
          <w:tcPr>
            <w:tcW w:w="1423"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D278D0" w:rsidRDefault="00D278D0">
            <w:pPr>
              <w:jc w:val="center"/>
              <w:rPr>
                <w:rFonts w:ascii="宋体" w:eastAsia="宋体" w:hAnsi="宋体" w:cs="宋体"/>
                <w:sz w:val="24"/>
              </w:rPr>
            </w:pPr>
          </w:p>
        </w:tc>
        <w:tc>
          <w:tcPr>
            <w:tcW w:w="1656" w:type="dxa"/>
            <w:tcBorders>
              <w:top w:val="nil"/>
              <w:left w:val="nil"/>
              <w:bottom w:val="single" w:sz="8" w:space="0" w:color="auto"/>
              <w:right w:val="single" w:sz="8" w:space="0" w:color="auto"/>
            </w:tcBorders>
            <w:shd w:val="clear" w:color="auto" w:fill="FFFFFF"/>
            <w:tcMar>
              <w:left w:w="108" w:type="dxa"/>
              <w:right w:w="108" w:type="dxa"/>
            </w:tcMar>
            <w:vAlign w:val="center"/>
          </w:tcPr>
          <w:p w:rsidR="00D278D0" w:rsidRDefault="00906A6F">
            <w:pPr>
              <w:widowControl/>
              <w:spacing w:line="280" w:lineRule="atLeast"/>
              <w:rPr>
                <w:rFonts w:ascii="宋体" w:eastAsia="宋体" w:hAnsi="宋体" w:cs="宋体"/>
                <w:sz w:val="24"/>
              </w:rPr>
            </w:pPr>
            <w:r>
              <w:rPr>
                <w:rFonts w:ascii="宋体" w:eastAsia="宋体" w:hAnsi="宋体" w:cs="宋体" w:hint="eastAsia"/>
                <w:kern w:val="0"/>
                <w:sz w:val="24"/>
                <w:lang w:bidi="ar"/>
              </w:rPr>
              <w:t>服务承诺</w:t>
            </w:r>
          </w:p>
          <w:p w:rsidR="00D278D0" w:rsidRDefault="00906A6F">
            <w:pPr>
              <w:widowControl/>
              <w:spacing w:line="280" w:lineRule="atLeast"/>
              <w:rPr>
                <w:rFonts w:ascii="宋体" w:eastAsia="宋体" w:hAnsi="宋体" w:cs="宋体"/>
                <w:sz w:val="24"/>
              </w:rPr>
            </w:pPr>
            <w:r>
              <w:rPr>
                <w:rFonts w:ascii="宋体" w:eastAsia="宋体" w:hAnsi="宋体" w:cs="宋体" w:hint="eastAsia"/>
                <w:kern w:val="0"/>
                <w:sz w:val="24"/>
                <w:lang w:bidi="ar"/>
              </w:rPr>
              <w:t>（</w:t>
            </w:r>
            <w:r>
              <w:rPr>
                <w:rFonts w:ascii="宋体" w:eastAsia="宋体" w:hAnsi="宋体" w:cs="宋体" w:hint="eastAsia"/>
                <w:kern w:val="0"/>
                <w:sz w:val="24"/>
                <w:lang w:bidi="ar"/>
              </w:rPr>
              <w:t>15</w:t>
            </w:r>
            <w:r>
              <w:rPr>
                <w:rFonts w:ascii="宋体" w:eastAsia="宋体" w:hAnsi="宋体" w:cs="宋体" w:hint="eastAsia"/>
                <w:kern w:val="0"/>
                <w:sz w:val="24"/>
                <w:lang w:bidi="ar"/>
              </w:rPr>
              <w:t>分）</w:t>
            </w:r>
          </w:p>
        </w:tc>
        <w:tc>
          <w:tcPr>
            <w:tcW w:w="4019" w:type="dxa"/>
            <w:tcBorders>
              <w:top w:val="nil"/>
              <w:left w:val="nil"/>
              <w:bottom w:val="single" w:sz="8" w:space="0" w:color="auto"/>
              <w:right w:val="single" w:sz="8" w:space="0" w:color="auto"/>
            </w:tcBorders>
            <w:shd w:val="clear" w:color="auto" w:fill="FFFFFF"/>
            <w:tcMar>
              <w:left w:w="108" w:type="dxa"/>
              <w:right w:w="108" w:type="dxa"/>
            </w:tcMar>
            <w:vAlign w:val="center"/>
          </w:tcPr>
          <w:p w:rsidR="00D278D0" w:rsidRDefault="00906A6F">
            <w:pPr>
              <w:widowControl/>
              <w:spacing w:line="280" w:lineRule="atLeast"/>
              <w:rPr>
                <w:rFonts w:ascii="宋体" w:eastAsia="宋体" w:hAnsi="宋体" w:cs="宋体"/>
                <w:sz w:val="24"/>
              </w:rPr>
            </w:pPr>
            <w:r>
              <w:rPr>
                <w:rFonts w:ascii="宋体" w:eastAsia="宋体" w:hAnsi="宋体" w:cs="宋体" w:hint="eastAsia"/>
                <w:kern w:val="0"/>
                <w:sz w:val="24"/>
                <w:lang w:bidi="ar"/>
              </w:rPr>
              <w:t>有各项质量保证措施及服务承诺得满分。不满足的酌情扣分。</w:t>
            </w:r>
          </w:p>
        </w:tc>
        <w:tc>
          <w:tcPr>
            <w:tcW w:w="1669" w:type="dxa"/>
            <w:tcBorders>
              <w:top w:val="nil"/>
              <w:left w:val="nil"/>
              <w:bottom w:val="single" w:sz="8" w:space="0" w:color="auto"/>
              <w:right w:val="single" w:sz="8" w:space="0" w:color="auto"/>
            </w:tcBorders>
            <w:shd w:val="clear" w:color="auto" w:fill="FFFFFF"/>
            <w:tcMar>
              <w:left w:w="108" w:type="dxa"/>
              <w:right w:w="108" w:type="dxa"/>
            </w:tcMar>
            <w:vAlign w:val="center"/>
          </w:tcPr>
          <w:p w:rsidR="00D278D0" w:rsidRDefault="00906A6F">
            <w:pPr>
              <w:widowControl/>
              <w:spacing w:line="280" w:lineRule="atLeast"/>
              <w:ind w:firstLine="640"/>
              <w:jc w:val="center"/>
              <w:rPr>
                <w:rFonts w:ascii="宋体" w:eastAsia="宋体" w:hAnsi="宋体" w:cs="宋体"/>
                <w:sz w:val="24"/>
              </w:rPr>
            </w:pPr>
            <w:r>
              <w:rPr>
                <w:rFonts w:ascii="宋体" w:eastAsia="宋体" w:hAnsi="宋体" w:cs="宋体" w:hint="eastAsia"/>
                <w:kern w:val="0"/>
                <w:sz w:val="24"/>
                <w:lang w:bidi="ar"/>
              </w:rPr>
              <w:t> </w:t>
            </w:r>
          </w:p>
        </w:tc>
      </w:tr>
      <w:tr w:rsidR="00D278D0">
        <w:trPr>
          <w:trHeight w:val="1181"/>
        </w:trPr>
        <w:tc>
          <w:tcPr>
            <w:tcW w:w="1423"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D278D0" w:rsidRDefault="00D278D0">
            <w:pPr>
              <w:jc w:val="center"/>
              <w:rPr>
                <w:rFonts w:ascii="宋体" w:eastAsia="宋体" w:hAnsi="宋体" w:cs="宋体"/>
                <w:sz w:val="24"/>
              </w:rPr>
            </w:pPr>
          </w:p>
        </w:tc>
        <w:tc>
          <w:tcPr>
            <w:tcW w:w="1656" w:type="dxa"/>
            <w:tcBorders>
              <w:top w:val="nil"/>
              <w:left w:val="nil"/>
              <w:bottom w:val="single" w:sz="8" w:space="0" w:color="auto"/>
              <w:right w:val="single" w:sz="8" w:space="0" w:color="auto"/>
            </w:tcBorders>
            <w:shd w:val="clear" w:color="auto" w:fill="FFFFFF"/>
            <w:tcMar>
              <w:left w:w="108" w:type="dxa"/>
              <w:right w:w="108" w:type="dxa"/>
            </w:tcMar>
            <w:vAlign w:val="center"/>
          </w:tcPr>
          <w:p w:rsidR="00D278D0" w:rsidRDefault="00906A6F">
            <w:pPr>
              <w:widowControl/>
              <w:spacing w:line="280" w:lineRule="atLeast"/>
              <w:rPr>
                <w:rFonts w:ascii="宋体" w:eastAsia="宋体" w:hAnsi="宋体" w:cs="宋体"/>
                <w:sz w:val="24"/>
              </w:rPr>
            </w:pPr>
            <w:r>
              <w:rPr>
                <w:rFonts w:ascii="宋体" w:eastAsia="宋体" w:hAnsi="宋体" w:cs="宋体" w:hint="eastAsia"/>
                <w:kern w:val="0"/>
                <w:sz w:val="24"/>
                <w:lang w:bidi="ar"/>
              </w:rPr>
              <w:t>招标流程控制措施（</w:t>
            </w:r>
            <w:r>
              <w:rPr>
                <w:rFonts w:ascii="宋体" w:eastAsia="宋体" w:hAnsi="宋体" w:cs="宋体" w:hint="eastAsia"/>
                <w:kern w:val="0"/>
                <w:sz w:val="24"/>
                <w:lang w:bidi="ar"/>
              </w:rPr>
              <w:t>15</w:t>
            </w:r>
            <w:r>
              <w:rPr>
                <w:rFonts w:ascii="宋体" w:eastAsia="宋体" w:hAnsi="宋体" w:cs="宋体" w:hint="eastAsia"/>
                <w:kern w:val="0"/>
                <w:sz w:val="24"/>
                <w:lang w:bidi="ar"/>
              </w:rPr>
              <w:t>分）</w:t>
            </w:r>
          </w:p>
        </w:tc>
        <w:tc>
          <w:tcPr>
            <w:tcW w:w="4019" w:type="dxa"/>
            <w:tcBorders>
              <w:top w:val="nil"/>
              <w:left w:val="nil"/>
              <w:bottom w:val="single" w:sz="8" w:space="0" w:color="auto"/>
              <w:right w:val="single" w:sz="8" w:space="0" w:color="auto"/>
            </w:tcBorders>
            <w:shd w:val="clear" w:color="auto" w:fill="FFFFFF"/>
            <w:tcMar>
              <w:left w:w="108" w:type="dxa"/>
              <w:right w:w="108" w:type="dxa"/>
            </w:tcMar>
            <w:vAlign w:val="center"/>
          </w:tcPr>
          <w:p w:rsidR="00D278D0" w:rsidRDefault="00906A6F">
            <w:pPr>
              <w:widowControl/>
              <w:spacing w:line="280" w:lineRule="atLeast"/>
              <w:rPr>
                <w:rFonts w:ascii="宋体" w:eastAsia="宋体" w:hAnsi="宋体" w:cs="宋体"/>
                <w:sz w:val="24"/>
              </w:rPr>
            </w:pPr>
            <w:r>
              <w:rPr>
                <w:rFonts w:ascii="宋体" w:eastAsia="宋体" w:hAnsi="宋体" w:cs="宋体" w:hint="eastAsia"/>
                <w:kern w:val="0"/>
                <w:sz w:val="24"/>
                <w:lang w:bidi="ar"/>
              </w:rPr>
              <w:t>各阶段进度实施计划编制合理、可行，有招标控制及保障措施的得满分。不满足的酌情扣分。</w:t>
            </w:r>
          </w:p>
        </w:tc>
        <w:tc>
          <w:tcPr>
            <w:tcW w:w="1669" w:type="dxa"/>
            <w:tcBorders>
              <w:top w:val="nil"/>
              <w:left w:val="nil"/>
              <w:bottom w:val="single" w:sz="8" w:space="0" w:color="auto"/>
              <w:right w:val="single" w:sz="8" w:space="0" w:color="auto"/>
            </w:tcBorders>
            <w:shd w:val="clear" w:color="auto" w:fill="FFFFFF"/>
            <w:tcMar>
              <w:left w:w="108" w:type="dxa"/>
              <w:right w:w="108" w:type="dxa"/>
            </w:tcMar>
            <w:vAlign w:val="center"/>
          </w:tcPr>
          <w:p w:rsidR="00D278D0" w:rsidRDefault="00906A6F">
            <w:pPr>
              <w:widowControl/>
              <w:spacing w:line="280" w:lineRule="atLeast"/>
              <w:ind w:firstLine="640"/>
              <w:jc w:val="center"/>
              <w:rPr>
                <w:rFonts w:ascii="宋体" w:eastAsia="宋体" w:hAnsi="宋体" w:cs="宋体"/>
                <w:sz w:val="24"/>
              </w:rPr>
            </w:pPr>
            <w:r>
              <w:rPr>
                <w:rFonts w:ascii="宋体" w:eastAsia="宋体" w:hAnsi="宋体" w:cs="宋体" w:hint="eastAsia"/>
                <w:kern w:val="0"/>
                <w:sz w:val="24"/>
                <w:lang w:bidi="ar"/>
              </w:rPr>
              <w:t> </w:t>
            </w:r>
          </w:p>
        </w:tc>
      </w:tr>
      <w:tr w:rsidR="00D278D0">
        <w:trPr>
          <w:trHeight w:val="788"/>
        </w:trPr>
        <w:tc>
          <w:tcPr>
            <w:tcW w:w="7098" w:type="dxa"/>
            <w:gridSpan w:val="3"/>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D278D0" w:rsidRDefault="00906A6F">
            <w:pPr>
              <w:widowControl/>
              <w:spacing w:line="280" w:lineRule="atLeast"/>
              <w:ind w:firstLine="640"/>
              <w:jc w:val="center"/>
              <w:rPr>
                <w:rFonts w:ascii="宋体" w:eastAsia="宋体" w:hAnsi="宋体" w:cs="宋体"/>
                <w:sz w:val="24"/>
              </w:rPr>
            </w:pPr>
            <w:r>
              <w:rPr>
                <w:rFonts w:ascii="宋体" w:eastAsia="宋体" w:hAnsi="宋体" w:cs="宋体" w:hint="eastAsia"/>
                <w:kern w:val="0"/>
                <w:sz w:val="24"/>
                <w:lang w:bidi="ar"/>
              </w:rPr>
              <w:t>评分人员签字</w:t>
            </w:r>
          </w:p>
        </w:tc>
        <w:tc>
          <w:tcPr>
            <w:tcW w:w="1669" w:type="dxa"/>
            <w:tcBorders>
              <w:top w:val="nil"/>
              <w:left w:val="nil"/>
              <w:bottom w:val="single" w:sz="8" w:space="0" w:color="auto"/>
              <w:right w:val="single" w:sz="8" w:space="0" w:color="auto"/>
            </w:tcBorders>
            <w:shd w:val="clear" w:color="auto" w:fill="FFFFFF"/>
            <w:tcMar>
              <w:left w:w="108" w:type="dxa"/>
              <w:right w:w="108" w:type="dxa"/>
            </w:tcMar>
            <w:vAlign w:val="center"/>
          </w:tcPr>
          <w:p w:rsidR="00D278D0" w:rsidRDefault="00906A6F">
            <w:pPr>
              <w:widowControl/>
              <w:spacing w:line="280" w:lineRule="atLeast"/>
              <w:ind w:firstLine="640"/>
              <w:jc w:val="center"/>
              <w:rPr>
                <w:rFonts w:ascii="宋体" w:eastAsia="宋体" w:hAnsi="宋体" w:cs="宋体"/>
                <w:sz w:val="24"/>
              </w:rPr>
            </w:pPr>
            <w:r>
              <w:rPr>
                <w:rFonts w:ascii="宋体" w:eastAsia="宋体" w:hAnsi="宋体" w:cs="宋体" w:hint="eastAsia"/>
                <w:kern w:val="0"/>
                <w:sz w:val="24"/>
                <w:lang w:bidi="ar"/>
              </w:rPr>
              <w:t> </w:t>
            </w:r>
          </w:p>
        </w:tc>
      </w:tr>
    </w:tbl>
    <w:p w:rsidR="00D278D0" w:rsidRDefault="00D278D0">
      <w:pPr>
        <w:rPr>
          <w:rFonts w:ascii="宋体" w:eastAsia="宋体" w:hAnsi="宋体" w:cs="宋体"/>
          <w:sz w:val="24"/>
          <w:shd w:val="clear" w:color="auto" w:fill="FFFFFF"/>
        </w:rPr>
      </w:pPr>
    </w:p>
    <w:sectPr w:rsidR="00D278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F0456"/>
    <w:multiLevelType w:val="singleLevel"/>
    <w:tmpl w:val="0D2F0456"/>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906A6F"/>
    <w:rsid w:val="00D278D0"/>
    <w:rsid w:val="06757F1E"/>
    <w:rsid w:val="0B4D714E"/>
    <w:rsid w:val="0CCB1F37"/>
    <w:rsid w:val="24C63065"/>
    <w:rsid w:val="25795FBB"/>
    <w:rsid w:val="32FA7C9A"/>
    <w:rsid w:val="34186103"/>
    <w:rsid w:val="474B78A4"/>
    <w:rsid w:val="4A217884"/>
    <w:rsid w:val="4A4548A9"/>
    <w:rsid w:val="74FE12F2"/>
    <w:rsid w:val="794E2C3C"/>
    <w:rsid w:val="7B6360FD"/>
    <w:rsid w:val="7FF74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jc w:val="center"/>
      <w:outlineLvl w:val="0"/>
    </w:pPr>
    <w:rPr>
      <w:rFonts w:ascii="Calibri" w:eastAsia="宋体" w:hAnsi="Calibri"/>
      <w:b/>
      <w:kern w:val="44"/>
      <w:sz w:val="36"/>
    </w:rPr>
  </w:style>
  <w:style w:type="paragraph" w:styleId="2">
    <w:name w:val="heading 2"/>
    <w:basedOn w:val="a"/>
    <w:next w:val="a"/>
    <w:link w:val="2Char"/>
    <w:unhideWhenUsed/>
    <w:qFormat/>
    <w:pPr>
      <w:keepNext/>
      <w:keepLines/>
      <w:jc w:val="center"/>
      <w:outlineLvl w:val="1"/>
    </w:pPr>
    <w:rPr>
      <w:rFonts w:ascii="Arial" w:eastAsia="宋体" w:hAnsi="Arial"/>
      <w:b/>
      <w:sz w:val="32"/>
    </w:rPr>
  </w:style>
  <w:style w:type="paragraph" w:styleId="3">
    <w:name w:val="heading 3"/>
    <w:basedOn w:val="a"/>
    <w:next w:val="a"/>
    <w:unhideWhenUsed/>
    <w:qFormat/>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unhideWhenUsed/>
    <w:qFormat/>
    <w:pPr>
      <w:keepNext/>
      <w:keepLines/>
      <w:outlineLvl w:val="3"/>
    </w:pPr>
    <w:rPr>
      <w:rFonts w:ascii="Arial" w:eastAsia="宋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next w:val="4"/>
    <w:pPr>
      <w:jc w:val="center"/>
    </w:pPr>
    <w:rPr>
      <w:rFonts w:ascii="Calibri" w:eastAsia="宋体" w:hAnsi="Calibri"/>
      <w:b/>
      <w:sz w:val="28"/>
    </w:rPr>
  </w:style>
  <w:style w:type="paragraph" w:styleId="a4">
    <w:name w:val="Normal (Web)"/>
    <w:basedOn w:val="a"/>
    <w:qFormat/>
    <w:pPr>
      <w:spacing w:beforeAutospacing="1" w:afterAutospacing="1"/>
      <w:jc w:val="left"/>
    </w:pPr>
    <w:rPr>
      <w:rFonts w:cs="Times New Roman"/>
      <w:kern w:val="0"/>
      <w:sz w:val="24"/>
    </w:rPr>
  </w:style>
  <w:style w:type="character" w:customStyle="1" w:styleId="2Char">
    <w:name w:val="标题 2 Char"/>
    <w:link w:val="2"/>
    <w:qFormat/>
    <w:rPr>
      <w:rFonts w:ascii="Arial" w:eastAsia="宋体" w:hAnsi="Arial"/>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jc w:val="center"/>
      <w:outlineLvl w:val="0"/>
    </w:pPr>
    <w:rPr>
      <w:rFonts w:ascii="Calibri" w:eastAsia="宋体" w:hAnsi="Calibri"/>
      <w:b/>
      <w:kern w:val="44"/>
      <w:sz w:val="36"/>
    </w:rPr>
  </w:style>
  <w:style w:type="paragraph" w:styleId="2">
    <w:name w:val="heading 2"/>
    <w:basedOn w:val="a"/>
    <w:next w:val="a"/>
    <w:link w:val="2Char"/>
    <w:unhideWhenUsed/>
    <w:qFormat/>
    <w:pPr>
      <w:keepNext/>
      <w:keepLines/>
      <w:jc w:val="center"/>
      <w:outlineLvl w:val="1"/>
    </w:pPr>
    <w:rPr>
      <w:rFonts w:ascii="Arial" w:eastAsia="宋体" w:hAnsi="Arial"/>
      <w:b/>
      <w:sz w:val="32"/>
    </w:rPr>
  </w:style>
  <w:style w:type="paragraph" w:styleId="3">
    <w:name w:val="heading 3"/>
    <w:basedOn w:val="a"/>
    <w:next w:val="a"/>
    <w:unhideWhenUsed/>
    <w:qFormat/>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unhideWhenUsed/>
    <w:qFormat/>
    <w:pPr>
      <w:keepNext/>
      <w:keepLines/>
      <w:outlineLvl w:val="3"/>
    </w:pPr>
    <w:rPr>
      <w:rFonts w:ascii="Arial" w:eastAsia="宋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next w:val="4"/>
    <w:pPr>
      <w:jc w:val="center"/>
    </w:pPr>
    <w:rPr>
      <w:rFonts w:ascii="Calibri" w:eastAsia="宋体" w:hAnsi="Calibri"/>
      <w:b/>
      <w:sz w:val="28"/>
    </w:rPr>
  </w:style>
  <w:style w:type="paragraph" w:styleId="a4">
    <w:name w:val="Normal (Web)"/>
    <w:basedOn w:val="a"/>
    <w:qFormat/>
    <w:pPr>
      <w:spacing w:beforeAutospacing="1" w:afterAutospacing="1"/>
      <w:jc w:val="left"/>
    </w:pPr>
    <w:rPr>
      <w:rFonts w:cs="Times New Roman"/>
      <w:kern w:val="0"/>
      <w:sz w:val="24"/>
    </w:rPr>
  </w:style>
  <w:style w:type="character" w:customStyle="1" w:styleId="2Char">
    <w:name w:val="标题 2 Char"/>
    <w:link w:val="2"/>
    <w:qFormat/>
    <w:rPr>
      <w:rFonts w:ascii="Arial" w:eastAsia="宋体"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108</Words>
  <Characters>617</Characters>
  <Application>Microsoft Office Word</Application>
  <DocSecurity>0</DocSecurity>
  <Lines>5</Lines>
  <Paragraphs>1</Paragraphs>
  <ScaleCrop>false</ScaleCrop>
  <Company>Kingsoft</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zhaoxinlei</dc:creator>
  <cp:lastModifiedBy>Wangyp</cp:lastModifiedBy>
  <cp:revision>3</cp:revision>
  <dcterms:created xsi:type="dcterms:W3CDTF">2014-10-29T12:08:00Z</dcterms:created>
  <dcterms:modified xsi:type="dcterms:W3CDTF">2019-12-30T08:56:00Z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